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5F60" w14:textId="77777777" w:rsidR="00395205" w:rsidRPr="006249F6" w:rsidRDefault="00395205" w:rsidP="00395205">
      <w:pPr>
        <w:pStyle w:val="Normaalweb"/>
        <w:rPr>
          <w:rFonts w:ascii="Ubuntu" w:hAnsi="Ubuntu" w:cs="Arial"/>
          <w:b/>
        </w:rPr>
      </w:pPr>
      <w:r w:rsidRPr="006249F6">
        <w:rPr>
          <w:rFonts w:ascii="Ubuntu" w:hAnsi="Ubuntu" w:cs="Arial"/>
          <w:b/>
        </w:rPr>
        <w:t>Inhoud en programma Verlies en conflict</w:t>
      </w:r>
    </w:p>
    <w:p w14:paraId="0C52BC6C" w14:textId="6A48FDE3" w:rsidR="00776E80" w:rsidRDefault="00395205" w:rsidP="00395205">
      <w:pPr>
        <w:pStyle w:val="Normaalweb"/>
        <w:rPr>
          <w:rFonts w:ascii="Ubuntu" w:hAnsi="Ubuntu" w:cs="Arial"/>
        </w:rPr>
      </w:pPr>
      <w:r w:rsidRPr="00776E80">
        <w:rPr>
          <w:rFonts w:ascii="Ubuntu" w:hAnsi="Ubuntu" w:cs="Arial"/>
        </w:rPr>
        <w:t>In deze tweedaagse cursus doet u basiskennis op over verlies, rouw en conflicten en de effecte</w:t>
      </w:r>
      <w:bookmarkStart w:id="0" w:name="_GoBack"/>
      <w:bookmarkEnd w:id="0"/>
      <w:r w:rsidRPr="00776E80">
        <w:rPr>
          <w:rFonts w:ascii="Ubuntu" w:hAnsi="Ubuntu" w:cs="Arial"/>
        </w:rPr>
        <w:t>n daarvan op het gedrag en emoties van degene die hiermee in aanraking komen. Door middel van de aangeleverde casuïstiek, worden gespreksvaardigheden geoefend.</w:t>
      </w:r>
    </w:p>
    <w:p w14:paraId="0D40D76B" w14:textId="2C75D803" w:rsidR="00776E80" w:rsidRDefault="00776E80" w:rsidP="00395205">
      <w:pPr>
        <w:pStyle w:val="Normaalweb"/>
        <w:rPr>
          <w:rFonts w:ascii="Ubuntu" w:hAnsi="Ubuntu" w:cs="Arial"/>
        </w:rPr>
      </w:pPr>
      <w:r>
        <w:rPr>
          <w:rFonts w:ascii="Ubuntu" w:hAnsi="Ubuntu" w:cs="Arial"/>
        </w:rPr>
        <w:t>U ontvangt een studiehandleiding en het boek ‘</w:t>
      </w:r>
      <w:proofErr w:type="spellStart"/>
      <w:r>
        <w:rPr>
          <w:rFonts w:ascii="Ubuntu" w:hAnsi="Ubuntu" w:cs="Arial"/>
        </w:rPr>
        <w:t>RouwConflict</w:t>
      </w:r>
      <w:proofErr w:type="spellEnd"/>
      <w:r>
        <w:rPr>
          <w:rFonts w:ascii="Ubuntu" w:hAnsi="Ubuntu" w:cs="Arial"/>
        </w:rPr>
        <w:t xml:space="preserve">. Regie op het HART’ van Tineke Rodenburg en Marion Uitslag. </w:t>
      </w:r>
    </w:p>
    <w:p w14:paraId="60BD900F" w14:textId="0DA4F4DF" w:rsidR="00395205" w:rsidRPr="00776E80" w:rsidRDefault="00395205" w:rsidP="00395205">
      <w:pPr>
        <w:pStyle w:val="Normaalweb"/>
        <w:rPr>
          <w:rFonts w:ascii="Ubuntu" w:hAnsi="Ubuntu"/>
        </w:rPr>
      </w:pP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</w:r>
      <w:r w:rsidRPr="006249F6">
        <w:rPr>
          <w:rFonts w:ascii="Ubuntu" w:hAnsi="Ubuntu" w:cs="Arial"/>
          <w:b/>
        </w:rPr>
        <w:t>Dag 1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</w:r>
      <w:r w:rsidRPr="00776E80">
        <w:rPr>
          <w:rFonts w:ascii="Ubuntu" w:hAnsi="Ubuntu" w:cs="Arial"/>
        </w:rPr>
        <w:t>Verlies en conflict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De overeenkomsten tussen verlies en conflict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De verschillen tussen verlies en conflict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 </w:t>
      </w:r>
      <w:r w:rsidRPr="00776E80">
        <w:rPr>
          <w:rFonts w:ascii="Ubuntu" w:hAnsi="Ubuntu" w:cs="Arial"/>
        </w:rPr>
        <w:t>Verlies in relatie tot rouw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 </w:t>
      </w:r>
      <w:r w:rsidRPr="00776E80">
        <w:rPr>
          <w:rFonts w:ascii="Ubuntu" w:hAnsi="Ubuntu" w:cs="Arial"/>
        </w:rPr>
        <w:t>De verliescirkel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 </w:t>
      </w:r>
      <w:r w:rsidRPr="00776E80">
        <w:rPr>
          <w:rFonts w:ascii="Ubuntu" w:hAnsi="Ubuntu" w:cs="Arial"/>
        </w:rPr>
        <w:t>Conflicten: het ontstaan en verloop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 </w:t>
      </w:r>
      <w:r w:rsidRPr="00776E80">
        <w:rPr>
          <w:rFonts w:ascii="Ubuntu" w:hAnsi="Ubuntu" w:cs="Arial"/>
        </w:rPr>
        <w:t xml:space="preserve">Hechtingstijlen in relatie tot </w:t>
      </w:r>
      <w:proofErr w:type="spellStart"/>
      <w:r w:rsidRPr="00776E80">
        <w:rPr>
          <w:rFonts w:ascii="Ubuntu" w:hAnsi="Ubuntu" w:cs="Arial"/>
        </w:rPr>
        <w:t>copingstijl</w:t>
      </w:r>
      <w:proofErr w:type="spellEnd"/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Het circulaire proces tussen ratio, gedrag en emoties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Het 4-G model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  </w:t>
      </w:r>
      <w:r w:rsidRPr="00776E80">
        <w:rPr>
          <w:rFonts w:ascii="Ubuntu" w:hAnsi="Ubuntu"/>
        </w:rPr>
        <w:br/>
      </w:r>
      <w:r w:rsidRPr="006249F6">
        <w:rPr>
          <w:rFonts w:ascii="Ubuntu" w:hAnsi="Ubuntu"/>
          <w:b/>
        </w:rPr>
        <w:t>Dag 2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>Het HART-model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Het HART-model als analysemodel voor conflicten en verliezen</w:t>
      </w:r>
      <w:r w:rsidRPr="00776E80">
        <w:rPr>
          <w:rFonts w:ascii="Ubuntu" w:hAnsi="Ubuntu"/>
        </w:rPr>
        <w:br/>
      </w:r>
      <w:r w:rsidRPr="00776E80">
        <w:rPr>
          <w:rFonts w:ascii="Ubuntu" w:hAnsi="Ubuntu"/>
        </w:rPr>
        <w:br/>
        <w:t xml:space="preserve">·         </w:t>
      </w:r>
      <w:r w:rsidRPr="00776E80">
        <w:rPr>
          <w:rFonts w:ascii="Ubuntu" w:hAnsi="Ubuntu" w:cs="Arial"/>
        </w:rPr>
        <w:t>Gespreksvoering aan de hand van casuïstiek</w:t>
      </w:r>
    </w:p>
    <w:p w14:paraId="634C7367" w14:textId="77777777" w:rsidR="00F03233" w:rsidRPr="00776E80" w:rsidRDefault="00F03233">
      <w:pPr>
        <w:rPr>
          <w:rFonts w:ascii="Ubuntu" w:hAnsi="Ubuntu"/>
          <w:sz w:val="24"/>
          <w:szCs w:val="24"/>
        </w:rPr>
      </w:pPr>
    </w:p>
    <w:p w14:paraId="06F41C19" w14:textId="0E65F84B" w:rsidR="00395205" w:rsidRPr="00776E80" w:rsidRDefault="00776E80">
      <w:pPr>
        <w:rPr>
          <w:rFonts w:ascii="Ubuntu" w:hAnsi="Ubuntu"/>
        </w:rPr>
      </w:pPr>
      <w:r>
        <w:rPr>
          <w:rFonts w:ascii="Ubuntu" w:hAnsi="Ubuntu"/>
        </w:rPr>
        <w:t xml:space="preserve">Deze training wordt gegeven door Tineke Rodenburg in samenwerking met Marion Uitslag. </w:t>
      </w:r>
    </w:p>
    <w:p w14:paraId="5DE6B137" w14:textId="77777777" w:rsidR="00395205" w:rsidRDefault="00395205"/>
    <w:sectPr w:rsidR="0039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05"/>
    <w:rsid w:val="00395205"/>
    <w:rsid w:val="005125E3"/>
    <w:rsid w:val="00531BA8"/>
    <w:rsid w:val="006249F6"/>
    <w:rsid w:val="00776E80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FAD1"/>
  <w15:chartTrackingRefBased/>
  <w15:docId w15:val="{1422B321-1744-4C35-BA14-BE2E86E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de Leeuw &amp; Berendineke Steenbergen</dc:creator>
  <cp:keywords/>
  <dc:description/>
  <cp:lastModifiedBy>Arnold de Leeuw &amp; Berendineke Steenbergen</cp:lastModifiedBy>
  <cp:revision>3</cp:revision>
  <dcterms:created xsi:type="dcterms:W3CDTF">2017-05-01T18:03:00Z</dcterms:created>
  <dcterms:modified xsi:type="dcterms:W3CDTF">2017-05-01T18:07:00Z</dcterms:modified>
</cp:coreProperties>
</file>